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E7" w:rsidRPr="00554771" w:rsidRDefault="009429E7" w:rsidP="009429E7">
      <w:pPr>
        <w:shd w:val="clear" w:color="auto" w:fill="FFFFFF"/>
        <w:spacing w:after="0"/>
        <w:jc w:val="center"/>
        <w:rPr>
          <w:rFonts w:ascii="Times New Roman" w:eastAsia="Times New Roman" w:hAnsi="Times New Roman" w:cs="Times New Roman"/>
          <w:b/>
          <w:sz w:val="24"/>
          <w:szCs w:val="24"/>
        </w:rPr>
      </w:pPr>
      <w:bookmarkStart w:id="0" w:name="_GoBack"/>
      <w:r w:rsidRPr="00554771">
        <w:rPr>
          <w:rFonts w:ascii="Times New Roman" w:eastAsia="Times New Roman" w:hAnsi="Times New Roman" w:cs="Times New Roman"/>
          <w:b/>
          <w:sz w:val="24"/>
          <w:szCs w:val="24"/>
        </w:rPr>
        <w:t>Требования к оформлению тезисов</w:t>
      </w:r>
      <w:r>
        <w:rPr>
          <w:rFonts w:ascii="Times New Roman" w:eastAsia="Times New Roman" w:hAnsi="Times New Roman" w:cs="Times New Roman"/>
          <w:b/>
          <w:sz w:val="24"/>
          <w:szCs w:val="24"/>
        </w:rPr>
        <w:t xml:space="preserve"> для электронного сборника </w:t>
      </w:r>
      <w:bookmarkEnd w:id="0"/>
      <w:r>
        <w:rPr>
          <w:rFonts w:ascii="Times New Roman" w:eastAsia="Times New Roman" w:hAnsi="Times New Roman" w:cs="Times New Roman"/>
          <w:b/>
          <w:sz w:val="24"/>
          <w:szCs w:val="24"/>
        </w:rPr>
        <w:t>тезисов конференции</w:t>
      </w:r>
    </w:p>
    <w:p w:rsidR="009429E7" w:rsidRPr="00BD25B8" w:rsidRDefault="009429E7" w:rsidP="009429E7">
      <w:pPr>
        <w:shd w:val="clear" w:color="auto" w:fill="FFFFFF"/>
        <w:spacing w:after="0"/>
        <w:jc w:val="both"/>
        <w:rPr>
          <w:rFonts w:ascii="Times New Roman" w:eastAsia="Times New Roman" w:hAnsi="Times New Roman" w:cs="Times New Roman"/>
          <w:sz w:val="24"/>
          <w:szCs w:val="24"/>
        </w:rPr>
      </w:pPr>
      <w:r w:rsidRPr="00BD25B8">
        <w:rPr>
          <w:rFonts w:ascii="Times New Roman" w:eastAsia="Times New Roman" w:hAnsi="Times New Roman" w:cs="Times New Roman"/>
          <w:sz w:val="24"/>
          <w:szCs w:val="24"/>
        </w:rPr>
        <w:t xml:space="preserve"> </w:t>
      </w:r>
    </w:p>
    <w:p w:rsidR="009429E7" w:rsidRPr="00EF0C1E" w:rsidRDefault="009429E7" w:rsidP="009429E7">
      <w:pPr>
        <w:shd w:val="clear" w:color="auto" w:fill="FFFFFF"/>
        <w:spacing w:after="0" w:line="240" w:lineRule="auto"/>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Тезисы доклада обязательно должны содержать постановку проблемы. Если участник конференции имеет практический опыт решения задачи в рамках проблемы, тезисы доклада должны содержать способы решения поставленной задачи, основные результаты. Объем тезисов – 1–2 полные страницы машинописного текста (не более 5000 знаков без пробелов), набранного в текстовом редакторе Word 6.0 и выше, шрифтом Times New Roman, 12 кеглем с одинарным межстрочным интервалом. </w:t>
      </w:r>
    </w:p>
    <w:p w:rsidR="009429E7" w:rsidRPr="00EF0C1E" w:rsidRDefault="009429E7" w:rsidP="009429E7">
      <w:pPr>
        <w:shd w:val="clear" w:color="auto" w:fill="FFFFFF"/>
        <w:spacing w:after="0" w:line="240" w:lineRule="auto"/>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Рекомендуемые параметры страницы – поля: верхнее – 15 мм, нижнее – 15 мм, левое – 30 мм, правое – 15 мм. Наименование тезисов печатать прописными буквами по центру, точку в конце заголовка не ставить. Фамилии авторов печатать через запятую строчными буквами по центру страницы под названием тезисов с пробелом в 1 интервал, ученую степень и звание автора не указывать, инициалы помещать перед фамилией. Рисунки должны быть сгруппированы, положение в «тексте». Ссылки на литературу в квадратных скобках, список литературы приводится в конце, оформляется по ГОСТ 7.1–2003. </w:t>
      </w:r>
    </w:p>
    <w:p w:rsidR="009429E7" w:rsidRPr="00EF0C1E" w:rsidRDefault="009429E7" w:rsidP="009429E7">
      <w:pPr>
        <w:shd w:val="clear" w:color="auto" w:fill="FFFFFF"/>
        <w:spacing w:after="0"/>
        <w:jc w:val="both"/>
        <w:rPr>
          <w:rFonts w:ascii="Times New Roman" w:eastAsia="Times New Roman" w:hAnsi="Times New Roman" w:cs="Times New Roman"/>
          <w:sz w:val="24"/>
          <w:szCs w:val="24"/>
        </w:rPr>
      </w:pPr>
    </w:p>
    <w:p w:rsidR="009429E7" w:rsidRPr="00EF0C1E" w:rsidRDefault="009429E7" w:rsidP="009429E7">
      <w:pPr>
        <w:shd w:val="clear" w:color="auto" w:fill="FFFFFF"/>
        <w:spacing w:after="0"/>
        <w:jc w:val="both"/>
        <w:rPr>
          <w:rFonts w:ascii="Times New Roman" w:eastAsia="Times New Roman" w:hAnsi="Times New Roman" w:cs="Times New Roman"/>
          <w:b/>
          <w:sz w:val="24"/>
          <w:szCs w:val="24"/>
        </w:rPr>
      </w:pPr>
      <w:r w:rsidRPr="00EF0C1E">
        <w:rPr>
          <w:rFonts w:ascii="Times New Roman" w:eastAsia="Times New Roman" w:hAnsi="Times New Roman" w:cs="Times New Roman"/>
          <w:b/>
          <w:sz w:val="24"/>
          <w:szCs w:val="24"/>
        </w:rPr>
        <w:t xml:space="preserve">Пример оформления тезисов </w:t>
      </w:r>
    </w:p>
    <w:p w:rsidR="009429E7" w:rsidRPr="00EF0C1E" w:rsidRDefault="009429E7" w:rsidP="009429E7">
      <w:pPr>
        <w:shd w:val="clear" w:color="auto" w:fill="FFFFFF"/>
        <w:spacing w:after="0"/>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 </w:t>
      </w:r>
    </w:p>
    <w:p w:rsidR="009429E7" w:rsidRPr="00EF0C1E" w:rsidRDefault="009429E7" w:rsidP="009429E7">
      <w:pPr>
        <w:shd w:val="clear" w:color="auto" w:fill="FFFFFF"/>
        <w:spacing w:after="0"/>
        <w:jc w:val="center"/>
        <w:rPr>
          <w:rFonts w:ascii="Times New Roman" w:eastAsia="Times New Roman" w:hAnsi="Times New Roman" w:cs="Times New Roman"/>
          <w:b/>
          <w:i/>
          <w:sz w:val="24"/>
          <w:szCs w:val="24"/>
        </w:rPr>
      </w:pPr>
      <w:r w:rsidRPr="00EF0C1E">
        <w:rPr>
          <w:rFonts w:ascii="Times New Roman" w:eastAsia="Times New Roman" w:hAnsi="Times New Roman" w:cs="Times New Roman"/>
          <w:b/>
          <w:i/>
          <w:sz w:val="24"/>
          <w:szCs w:val="24"/>
        </w:rPr>
        <w:t>ПОДГОТОВКА КАДРОВ В ОБЛАСТИ ИКТ ДЛЯ МЕЖРЕГИОНАЛЬНОГО СЕГМЕНТА ОБРАЗОВАТЕЛЬНОЙ ИНФОРМАЦИОННОЙ СРЕДЫ ОБЩЕГО И ПРОФЕССИОНАЛЬНОГО ОБРАЗОВАНИЯ</w:t>
      </w:r>
    </w:p>
    <w:p w:rsidR="009429E7" w:rsidRPr="00EF0C1E" w:rsidRDefault="009429E7" w:rsidP="009429E7">
      <w:pPr>
        <w:shd w:val="clear" w:color="auto" w:fill="FFFFFF"/>
        <w:spacing w:after="0"/>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 </w:t>
      </w:r>
    </w:p>
    <w:p w:rsidR="009429E7" w:rsidRPr="00EF0C1E" w:rsidRDefault="009429E7" w:rsidP="009429E7">
      <w:pPr>
        <w:shd w:val="clear" w:color="auto" w:fill="FFFFFF"/>
        <w:spacing w:after="0"/>
        <w:jc w:val="center"/>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В.С. Иванов, А.Д. Петров</w:t>
      </w:r>
    </w:p>
    <w:p w:rsidR="009429E7" w:rsidRPr="00EF0C1E" w:rsidRDefault="009429E7" w:rsidP="009429E7">
      <w:pPr>
        <w:shd w:val="clear" w:color="auto" w:fill="FFFFFF"/>
        <w:spacing w:after="0"/>
        <w:jc w:val="center"/>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Национальный исследовательский Томский государственный университет</w:t>
      </w:r>
    </w:p>
    <w:p w:rsidR="009429E7" w:rsidRPr="00EF0C1E" w:rsidRDefault="009429E7" w:rsidP="009429E7">
      <w:pPr>
        <w:shd w:val="clear" w:color="auto" w:fill="FFFFFF"/>
        <w:spacing w:after="0"/>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 </w:t>
      </w:r>
    </w:p>
    <w:p w:rsidR="009429E7" w:rsidRPr="00EF0C1E" w:rsidRDefault="009429E7" w:rsidP="009429E7">
      <w:pPr>
        <w:shd w:val="clear" w:color="auto" w:fill="FFFFFF"/>
        <w:spacing w:after="0" w:line="240" w:lineRule="auto"/>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w:t>
      </w:r>
    </w:p>
    <w:p w:rsidR="009429E7" w:rsidRPr="00EF0C1E" w:rsidRDefault="009429E7" w:rsidP="009429E7">
      <w:pPr>
        <w:shd w:val="clear" w:color="auto" w:fill="FFFFFF"/>
        <w:spacing w:after="0"/>
        <w:jc w:val="both"/>
        <w:rPr>
          <w:rFonts w:ascii="Times New Roman" w:eastAsia="Times New Roman" w:hAnsi="Times New Roman" w:cs="Times New Roman"/>
          <w:sz w:val="24"/>
          <w:szCs w:val="24"/>
        </w:rPr>
      </w:pPr>
    </w:p>
    <w:p w:rsidR="009429E7" w:rsidRDefault="009429E7" w:rsidP="009429E7">
      <w:pPr>
        <w:shd w:val="clear" w:color="auto" w:fill="FFFFFF"/>
        <w:spacing w:after="0"/>
        <w:jc w:val="both"/>
        <w:rPr>
          <w:rFonts w:ascii="Times New Roman" w:eastAsia="Times New Roman" w:hAnsi="Times New Roman" w:cs="Times New Roman"/>
          <w:sz w:val="24"/>
          <w:szCs w:val="24"/>
        </w:rPr>
      </w:pPr>
      <w:r w:rsidRPr="00EF0C1E">
        <w:rPr>
          <w:rFonts w:ascii="Times New Roman" w:eastAsia="Times New Roman" w:hAnsi="Times New Roman" w:cs="Times New Roman"/>
          <w:sz w:val="24"/>
          <w:szCs w:val="24"/>
        </w:rPr>
        <w:t xml:space="preserve">Литература </w:t>
      </w:r>
    </w:p>
    <w:p w:rsidR="009429E7" w:rsidRPr="00EF0C1E" w:rsidRDefault="009429E7" w:rsidP="009429E7">
      <w:pPr>
        <w:shd w:val="clear" w:color="auto" w:fill="FFFFFF"/>
        <w:spacing w:after="0"/>
        <w:jc w:val="both"/>
        <w:rPr>
          <w:rFonts w:ascii="Times New Roman" w:eastAsia="Times New Roman" w:hAnsi="Times New Roman" w:cs="Times New Roman"/>
          <w:sz w:val="24"/>
          <w:szCs w:val="24"/>
        </w:rPr>
      </w:pPr>
    </w:p>
    <w:p w:rsidR="009429E7" w:rsidRPr="008D3B22" w:rsidRDefault="009429E7" w:rsidP="009429E7">
      <w:pPr>
        <w:pStyle w:val="a3"/>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rPr>
      </w:pPr>
      <w:r w:rsidRPr="008D3B22">
        <w:rPr>
          <w:rFonts w:ascii="Times New Roman" w:eastAsia="Times New Roman" w:hAnsi="Times New Roman" w:cs="Times New Roman"/>
          <w:sz w:val="24"/>
          <w:szCs w:val="24"/>
        </w:rPr>
        <w:t>Преподавание в сети Интернет : учеб. пособие / Отв. редактор В.И. Солдаткин. – М.</w:t>
      </w:r>
      <w:r>
        <w:rPr>
          <w:rFonts w:ascii="Times New Roman" w:eastAsia="Times New Roman" w:hAnsi="Times New Roman" w:cs="Times New Roman"/>
          <w:sz w:val="24"/>
          <w:szCs w:val="24"/>
        </w:rPr>
        <w:t xml:space="preserve"> </w:t>
      </w:r>
      <w:r w:rsidRPr="008D3B22">
        <w:rPr>
          <w:rFonts w:ascii="Times New Roman" w:eastAsia="Times New Roman" w:hAnsi="Times New Roman" w:cs="Times New Roman"/>
          <w:sz w:val="24"/>
          <w:szCs w:val="24"/>
        </w:rPr>
        <w:t>: Высшая школа, 2003. – 792 с.</w:t>
      </w:r>
    </w:p>
    <w:p w:rsidR="009429E7" w:rsidRPr="008D3B22" w:rsidRDefault="009429E7" w:rsidP="009429E7">
      <w:pPr>
        <w:pStyle w:val="a3"/>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rPr>
      </w:pPr>
      <w:r w:rsidRPr="008D3B22">
        <w:rPr>
          <w:rFonts w:ascii="Times New Roman" w:eastAsia="Times New Roman" w:hAnsi="Times New Roman" w:cs="Times New Roman"/>
          <w:sz w:val="24"/>
          <w:szCs w:val="24"/>
        </w:rPr>
        <w:t>Системы набора иностранных студентов в классические университеты : учеб. пособие / Д. П. Билибин [и др.]. – М. : РУДН, 2008. – 382 с.</w:t>
      </w:r>
    </w:p>
    <w:p w:rsidR="009429E7" w:rsidRDefault="009429E7" w:rsidP="009429E7">
      <w:pPr>
        <w:pStyle w:val="a3"/>
        <w:numPr>
          <w:ilvl w:val="0"/>
          <w:numId w:val="1"/>
        </w:numPr>
        <w:shd w:val="clear" w:color="auto" w:fill="FFFFFF"/>
        <w:spacing w:after="0" w:line="240" w:lineRule="auto"/>
        <w:ind w:left="714" w:hanging="357"/>
        <w:jc w:val="both"/>
        <w:rPr>
          <w:rFonts w:ascii="Times New Roman" w:eastAsia="Times New Roman" w:hAnsi="Times New Roman" w:cs="Times New Roman"/>
          <w:sz w:val="24"/>
          <w:szCs w:val="24"/>
        </w:rPr>
      </w:pPr>
      <w:r w:rsidRPr="008D3B22">
        <w:rPr>
          <w:rFonts w:ascii="Times New Roman" w:eastAsia="Times New Roman" w:hAnsi="Times New Roman" w:cs="Times New Roman"/>
          <w:sz w:val="24"/>
          <w:szCs w:val="24"/>
        </w:rPr>
        <w:t>Интернационализация российских вузов: китайский вектор [Электронный ресурс] / [Н. Е. Боревская и др.] – М. : Спецкнига, 2013. – 72 с. – Электрон. версия печат. публ. – URL: http://russiancouncil.ru/common/upload/Report13-2013lrus.pdf (дата обращения: 15.0</w:t>
      </w:r>
      <w:r>
        <w:rPr>
          <w:rFonts w:ascii="Times New Roman" w:eastAsia="Times New Roman" w:hAnsi="Times New Roman" w:cs="Times New Roman"/>
          <w:sz w:val="24"/>
          <w:szCs w:val="24"/>
        </w:rPr>
        <w:t>9</w:t>
      </w:r>
      <w:r w:rsidRPr="008D3B22">
        <w:rPr>
          <w:rFonts w:ascii="Times New Roman" w:eastAsia="Times New Roman" w:hAnsi="Times New Roman" w:cs="Times New Roman"/>
          <w:sz w:val="24"/>
          <w:szCs w:val="24"/>
        </w:rPr>
        <w:t>.2015).</w:t>
      </w:r>
    </w:p>
    <w:p w:rsidR="009429E7" w:rsidRPr="008D3B22" w:rsidRDefault="009429E7" w:rsidP="009429E7">
      <w:pPr>
        <w:pStyle w:val="a3"/>
        <w:numPr>
          <w:ilvl w:val="0"/>
          <w:numId w:val="1"/>
        </w:numPr>
        <w:shd w:val="clear" w:color="auto" w:fill="FFFFFF"/>
        <w:spacing w:after="0" w:line="240" w:lineRule="auto"/>
        <w:ind w:left="714" w:hanging="357"/>
        <w:jc w:val="both"/>
        <w:rPr>
          <w:rFonts w:ascii="Times New Roman" w:hAnsi="Times New Roman" w:cs="Times New Roman"/>
          <w:sz w:val="24"/>
          <w:szCs w:val="24"/>
        </w:rPr>
      </w:pPr>
      <w:r w:rsidRPr="008D3B22">
        <w:rPr>
          <w:rFonts w:ascii="Times New Roman" w:eastAsia="Times New Roman" w:hAnsi="Times New Roman" w:cs="Times New Roman"/>
          <w:sz w:val="24"/>
          <w:szCs w:val="24"/>
        </w:rPr>
        <w:t>МАГИСТРАТУРА.СУ [Электронный ресурс]. – Электрон. дан. – [S. l.], 2012–2013. – URL: http://magistratura.su (дата обращения: 16.0</w:t>
      </w:r>
      <w:r>
        <w:rPr>
          <w:rFonts w:ascii="Times New Roman" w:eastAsia="Times New Roman" w:hAnsi="Times New Roman" w:cs="Times New Roman"/>
          <w:sz w:val="24"/>
          <w:szCs w:val="24"/>
        </w:rPr>
        <w:t>9</w:t>
      </w:r>
      <w:r w:rsidRPr="008D3B22">
        <w:rPr>
          <w:rFonts w:ascii="Times New Roman" w:eastAsia="Times New Roman" w:hAnsi="Times New Roman" w:cs="Times New Roman"/>
          <w:sz w:val="24"/>
          <w:szCs w:val="24"/>
        </w:rPr>
        <w:t>.2015).</w:t>
      </w:r>
    </w:p>
    <w:p w:rsidR="009429E7" w:rsidRPr="00B87F07" w:rsidRDefault="009429E7" w:rsidP="009429E7">
      <w:pPr>
        <w:spacing w:after="0"/>
        <w:jc w:val="both"/>
        <w:rPr>
          <w:rFonts w:ascii="Times New Roman" w:hAnsi="Times New Roman" w:cs="Times New Roman"/>
          <w:sz w:val="24"/>
          <w:szCs w:val="24"/>
        </w:rPr>
      </w:pPr>
    </w:p>
    <w:p w:rsidR="00B40607" w:rsidRDefault="00B40607"/>
    <w:sectPr w:rsidR="00B40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0BD7"/>
    <w:multiLevelType w:val="hybridMultilevel"/>
    <w:tmpl w:val="2DD25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E7"/>
    <w:rsid w:val="009429E7"/>
    <w:rsid w:val="00A229E9"/>
    <w:rsid w:val="00B4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9E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UserIDO</dc:creator>
  <cp:lastModifiedBy>UserIDO</cp:lastModifiedBy>
  <cp:revision>1</cp:revision>
  <dcterms:created xsi:type="dcterms:W3CDTF">2015-06-08T09:58:00Z</dcterms:created>
  <dcterms:modified xsi:type="dcterms:W3CDTF">2015-06-08T09:59:00Z</dcterms:modified>
</cp:coreProperties>
</file>